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0" w:lineRule="exact" w:before="0"/>
        <w:ind w:left="9138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5.100006pt;margin-top:581.525391pt;width:609.5pt;height:15.55pt;mso-position-horizontal-relative:page;mso-position-vertical-relative:page;z-index:15728640" type="#_x0000_t202" id="docshape1" filled="false" stroked="false">
            <v:textbox inset="0,0,0,0">
              <w:txbxContent>
                <w:p>
                  <w:pPr>
                    <w:pStyle w:val="BodyText"/>
                    <w:tabs>
                      <w:tab w:pos="10293" w:val="left" w:leader="none"/>
                    </w:tabs>
                    <w:spacing w:line="310" w:lineRule="exact"/>
                  </w:pPr>
                  <w:r>
                    <w:rPr/>
                    <w:t>Начальник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управління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соціально-економічного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розвитку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міста</w:t>
                  </w:r>
                  <w:r>
                    <w:rPr/>
                    <w:tab/>
                    <w:t>Ю.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</w:rPr>
                    <w:t>ЗАХАРЧУК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Додаток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40"/>
        <w:ind w:left="9138" w:right="0" w:firstLine="0"/>
        <w:jc w:val="left"/>
        <w:rPr>
          <w:sz w:val="24"/>
        </w:rPr>
      </w:pPr>
      <w:r>
        <w:rPr>
          <w:sz w:val="24"/>
        </w:rPr>
        <w:t>до рішення виконавчого комітету Мелітопольської</w:t>
      </w:r>
      <w:r>
        <w:rPr>
          <w:spacing w:val="-13"/>
          <w:sz w:val="24"/>
        </w:rPr>
        <w:t> </w:t>
      </w:r>
      <w:r>
        <w:rPr>
          <w:sz w:val="24"/>
        </w:rPr>
        <w:t>міської</w:t>
      </w:r>
      <w:r>
        <w:rPr>
          <w:spacing w:val="-13"/>
          <w:sz w:val="24"/>
        </w:rPr>
        <w:t> </w:t>
      </w:r>
      <w:r>
        <w:rPr>
          <w:sz w:val="24"/>
        </w:rPr>
        <w:t>ради</w:t>
      </w:r>
      <w:r>
        <w:rPr>
          <w:spacing w:val="-15"/>
          <w:sz w:val="24"/>
        </w:rPr>
        <w:t> </w:t>
      </w:r>
      <w:r>
        <w:rPr>
          <w:sz w:val="24"/>
        </w:rPr>
        <w:t>Запорізької </w:t>
      </w:r>
      <w:r>
        <w:rPr>
          <w:spacing w:val="-2"/>
          <w:sz w:val="24"/>
        </w:rPr>
        <w:t>області</w:t>
      </w:r>
    </w:p>
    <w:p>
      <w:pPr>
        <w:spacing w:before="102"/>
        <w:ind w:left="9138" w:right="0" w:firstLine="0"/>
        <w:jc w:val="left"/>
        <w:rPr>
          <w:sz w:val="24"/>
        </w:rPr>
      </w:pP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30.05.2019 №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114/2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2289" w:val="left" w:leader="none"/>
        </w:tabs>
        <w:ind w:left="3967" w:right="662" w:hanging="3264"/>
      </w:pPr>
      <w:r>
        <w:rPr>
          <w:spacing w:val="-2"/>
        </w:rPr>
        <w:t>Розрахунок</w:t>
      </w:r>
      <w:r>
        <w:rPr/>
        <w:tab/>
        <w:t>тарифу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послугу</w:t>
      </w:r>
      <w:r>
        <w:rPr>
          <w:spacing w:val="-4"/>
        </w:rPr>
        <w:t> </w:t>
      </w:r>
      <w:r>
        <w:rPr/>
        <w:t>з</w:t>
      </w:r>
      <w:r>
        <w:rPr>
          <w:spacing w:val="40"/>
        </w:rPr>
        <w:t> </w:t>
      </w:r>
      <w:r>
        <w:rPr/>
        <w:t>поводження</w:t>
      </w:r>
      <w:r>
        <w:rPr>
          <w:spacing w:val="-5"/>
        </w:rPr>
        <w:t> </w:t>
      </w:r>
      <w:r>
        <w:rPr/>
        <w:t>з</w:t>
      </w:r>
      <w:r>
        <w:rPr>
          <w:spacing w:val="-3"/>
        </w:rPr>
        <w:t> </w:t>
      </w:r>
      <w:r>
        <w:rPr/>
        <w:t>побутовими</w:t>
      </w:r>
      <w:r>
        <w:rPr>
          <w:spacing w:val="-5"/>
        </w:rPr>
        <w:t> </w:t>
      </w:r>
      <w:r>
        <w:rPr/>
        <w:t>відходами</w:t>
      </w:r>
      <w:r>
        <w:rPr>
          <w:spacing w:val="-3"/>
        </w:rPr>
        <w:t> </w:t>
      </w:r>
      <w:r>
        <w:rPr/>
        <w:t>(збирання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вивезення</w:t>
      </w:r>
      <w:r>
        <w:rPr>
          <w:spacing w:val="-4"/>
        </w:rPr>
        <w:t> </w:t>
      </w:r>
      <w:r>
        <w:rPr/>
        <w:t>твердих побутових відходів) з</w:t>
      </w:r>
      <w:r>
        <w:rPr>
          <w:spacing w:val="40"/>
        </w:rPr>
        <w:t> </w:t>
      </w:r>
      <w:r>
        <w:rPr/>
        <w:t>урахуванням</w:t>
      </w:r>
      <w:r>
        <w:rPr>
          <w:spacing w:val="40"/>
        </w:rPr>
        <w:t> </w:t>
      </w:r>
      <w:r>
        <w:rPr/>
        <w:t>захоронення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720"/>
        <w:gridCol w:w="1218"/>
        <w:gridCol w:w="1360"/>
        <w:gridCol w:w="1200"/>
        <w:gridCol w:w="2084"/>
      </w:tblGrid>
      <w:tr>
        <w:trPr>
          <w:trHeight w:val="476" w:hRule="atLeast"/>
        </w:trPr>
        <w:tc>
          <w:tcPr>
            <w:tcW w:w="5918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2341" w:right="2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Показники</w:t>
            </w:r>
          </w:p>
        </w:tc>
        <w:tc>
          <w:tcPr>
            <w:tcW w:w="2938" w:type="dxa"/>
            <w:gridSpan w:val="2"/>
          </w:tcPr>
          <w:p>
            <w:pPr>
              <w:pStyle w:val="TableParagraph"/>
              <w:spacing w:before="100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</w:t>
            </w:r>
          </w:p>
        </w:tc>
        <w:tc>
          <w:tcPr>
            <w:tcW w:w="2560" w:type="dxa"/>
            <w:gridSpan w:val="2"/>
          </w:tcPr>
          <w:p>
            <w:pPr>
              <w:pStyle w:val="TableParagraph"/>
              <w:spacing w:before="100"/>
              <w:ind w:left="7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Збирання</w:t>
            </w:r>
          </w:p>
        </w:tc>
        <w:tc>
          <w:tcPr>
            <w:tcW w:w="2084" w:type="dxa"/>
          </w:tcPr>
          <w:p>
            <w:pPr>
              <w:pStyle w:val="TableParagraph"/>
              <w:spacing w:before="100"/>
              <w:ind w:left="459" w:right="4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Вивезення</w:t>
            </w:r>
          </w:p>
        </w:tc>
      </w:tr>
      <w:tr>
        <w:trPr>
          <w:trHeight w:val="383" w:hRule="atLeast"/>
        </w:trPr>
        <w:tc>
          <w:tcPr>
            <w:tcW w:w="5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54"/>
              <w:ind w:left="434" w:right="413"/>
              <w:rPr>
                <w:sz w:val="24"/>
              </w:rPr>
            </w:pPr>
            <w:r>
              <w:rPr>
                <w:sz w:val="24"/>
              </w:rPr>
              <w:t>тис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грн</w:t>
            </w:r>
          </w:p>
        </w:tc>
        <w:tc>
          <w:tcPr>
            <w:tcW w:w="1218" w:type="dxa"/>
          </w:tcPr>
          <w:p>
            <w:pPr>
              <w:pStyle w:val="TableParagraph"/>
              <w:spacing w:before="54"/>
              <w:ind w:left="214" w:right="188"/>
              <w:rPr>
                <w:sz w:val="24"/>
              </w:rPr>
            </w:pPr>
            <w:r>
              <w:rPr>
                <w:sz w:val="24"/>
              </w:rPr>
              <w:t>грн 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before="54"/>
              <w:ind w:left="295" w:right="274"/>
              <w:rPr>
                <w:sz w:val="24"/>
              </w:rPr>
            </w:pPr>
            <w:r>
              <w:rPr>
                <w:sz w:val="24"/>
              </w:rPr>
              <w:t>тис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грн</w:t>
            </w:r>
          </w:p>
        </w:tc>
        <w:tc>
          <w:tcPr>
            <w:tcW w:w="1200" w:type="dxa"/>
          </w:tcPr>
          <w:p>
            <w:pPr>
              <w:pStyle w:val="TableParagraph"/>
              <w:spacing w:before="54"/>
              <w:ind w:left="204" w:right="180"/>
              <w:rPr>
                <w:sz w:val="24"/>
              </w:rPr>
            </w:pPr>
            <w:r>
              <w:rPr>
                <w:sz w:val="24"/>
              </w:rPr>
              <w:t>грн 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2084" w:type="dxa"/>
          </w:tcPr>
          <w:p>
            <w:pPr>
              <w:pStyle w:val="TableParagraph"/>
              <w:spacing w:before="54"/>
              <w:ind w:left="459" w:right="438"/>
              <w:rPr>
                <w:sz w:val="24"/>
              </w:rPr>
            </w:pPr>
            <w:r>
              <w:rPr>
                <w:sz w:val="24"/>
              </w:rPr>
              <w:t>тис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грн</w:t>
            </w:r>
          </w:p>
        </w:tc>
      </w:tr>
      <w:tr>
        <w:trPr>
          <w:trHeight w:val="416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Обсяги,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всього</w:t>
            </w:r>
            <w:r>
              <w:rPr>
                <w:b/>
                <w:spacing w:val="-2"/>
                <w:sz w:val="24"/>
              </w:rPr>
              <w:t> тис.м</w:t>
            </w:r>
            <w:r>
              <w:rPr>
                <w:b/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7582" w:type="dxa"/>
            <w:gridSpan w:val="5"/>
          </w:tcPr>
          <w:p>
            <w:pPr>
              <w:pStyle w:val="TableParagraph"/>
              <w:spacing w:before="80"/>
              <w:ind w:left="3475" w:right="3454"/>
              <w:rPr>
                <w:sz w:val="22"/>
              </w:rPr>
            </w:pPr>
            <w:r>
              <w:rPr>
                <w:spacing w:val="-2"/>
                <w:sz w:val="22"/>
              </w:rPr>
              <w:t>254,66</w:t>
            </w:r>
          </w:p>
        </w:tc>
      </w:tr>
      <w:tr>
        <w:trPr>
          <w:trHeight w:val="293" w:hRule="atLeast"/>
        </w:trPr>
        <w:tc>
          <w:tcPr>
            <w:tcW w:w="5918" w:type="dxa"/>
          </w:tcPr>
          <w:p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ПММ</w:t>
            </w: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3679,36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line="252" w:lineRule="exact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3679,36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Витрати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ремонт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638,44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5" w:right="274"/>
              <w:rPr>
                <w:sz w:val="22"/>
              </w:rPr>
            </w:pPr>
            <w:r>
              <w:rPr>
                <w:spacing w:val="-2"/>
                <w:sz w:val="22"/>
              </w:rPr>
              <w:t>40,68</w:t>
            </w: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2084" w:type="dxa"/>
          </w:tcPr>
          <w:p>
            <w:pPr>
              <w:pStyle w:val="TableParagraph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597,76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Вартість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шин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325,64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325,64</w:t>
            </w:r>
          </w:p>
        </w:tc>
      </w:tr>
      <w:tr>
        <w:trPr>
          <w:trHeight w:val="280" w:hRule="atLeast"/>
        </w:trPr>
        <w:tc>
          <w:tcPr>
            <w:tcW w:w="5918" w:type="dxa"/>
          </w:tcPr>
          <w:p>
            <w:pPr>
              <w:pStyle w:val="TableParagraph"/>
              <w:spacing w:line="26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Запчастини</w:t>
            </w:r>
          </w:p>
        </w:tc>
        <w:tc>
          <w:tcPr>
            <w:tcW w:w="1720" w:type="dxa"/>
          </w:tcPr>
          <w:p>
            <w:pPr>
              <w:pStyle w:val="TableParagraph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1173,04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1173,04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Заробітна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плата</w:t>
            </w:r>
          </w:p>
        </w:tc>
        <w:tc>
          <w:tcPr>
            <w:tcW w:w="1720" w:type="dxa"/>
          </w:tcPr>
          <w:p>
            <w:pPr>
              <w:pStyle w:val="TableParagraph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3388,92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3388,92</w:t>
            </w:r>
          </w:p>
        </w:tc>
      </w:tr>
      <w:tr>
        <w:trPr>
          <w:trHeight w:val="296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Нарахування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заробітну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22%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745,56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745,56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Амортизація</w:t>
            </w: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217,92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52" w:lineRule="exact"/>
              <w:ind w:left="295" w:right="270"/>
              <w:rPr>
                <w:sz w:val="22"/>
              </w:rPr>
            </w:pPr>
            <w:r>
              <w:rPr>
                <w:spacing w:val="-2"/>
                <w:sz w:val="22"/>
              </w:rPr>
              <w:t>134,66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0,53</w:t>
            </w:r>
          </w:p>
        </w:tc>
        <w:tc>
          <w:tcPr>
            <w:tcW w:w="2084" w:type="dxa"/>
          </w:tcPr>
          <w:p>
            <w:pPr>
              <w:pStyle w:val="TableParagraph"/>
              <w:spacing w:line="252" w:lineRule="exact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83,26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Інші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витрати</w:t>
            </w: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34,93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line="252" w:lineRule="exact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34,93</w:t>
            </w:r>
          </w:p>
        </w:tc>
      </w:tr>
      <w:tr>
        <w:trPr>
          <w:trHeight w:val="293" w:hRule="atLeast"/>
        </w:trPr>
        <w:tc>
          <w:tcPr>
            <w:tcW w:w="5918" w:type="dxa"/>
          </w:tcPr>
          <w:p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Оренда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626,41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line="252" w:lineRule="exact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626,41</w:t>
            </w:r>
          </w:p>
        </w:tc>
      </w:tr>
      <w:tr>
        <w:trPr>
          <w:trHeight w:val="326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Питома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вага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100,00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5" w:right="270"/>
              <w:rPr>
                <w:sz w:val="22"/>
              </w:rPr>
            </w:pPr>
            <w:r>
              <w:rPr>
                <w:spacing w:val="-4"/>
                <w:sz w:val="22"/>
              </w:rPr>
              <w:t>1,62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98,38</w:t>
            </w:r>
          </w:p>
        </w:tc>
      </w:tr>
      <w:tr>
        <w:trPr>
          <w:trHeight w:val="293" w:hRule="atLeast"/>
        </w:trPr>
        <w:tc>
          <w:tcPr>
            <w:tcW w:w="5918" w:type="dxa"/>
          </w:tcPr>
          <w:p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Загальновиробничі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витрати</w:t>
            </w: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2606,30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52" w:lineRule="exact"/>
              <w:ind w:left="295" w:right="274"/>
              <w:rPr>
                <w:sz w:val="22"/>
              </w:rPr>
            </w:pPr>
            <w:r>
              <w:rPr>
                <w:spacing w:val="-2"/>
                <w:sz w:val="22"/>
              </w:rPr>
              <w:t>42,20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0,17</w:t>
            </w:r>
          </w:p>
        </w:tc>
        <w:tc>
          <w:tcPr>
            <w:tcW w:w="2084" w:type="dxa"/>
          </w:tcPr>
          <w:p>
            <w:pPr>
              <w:pStyle w:val="TableParagraph"/>
              <w:spacing w:line="252" w:lineRule="exact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2564,10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Виробнича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собівартість,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13436,52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5" w:right="270"/>
              <w:rPr>
                <w:sz w:val="22"/>
              </w:rPr>
            </w:pPr>
            <w:r>
              <w:rPr>
                <w:spacing w:val="-2"/>
                <w:sz w:val="22"/>
              </w:rPr>
              <w:t>217,54</w:t>
            </w: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0,85</w:t>
            </w:r>
          </w:p>
        </w:tc>
        <w:tc>
          <w:tcPr>
            <w:tcW w:w="2084" w:type="dxa"/>
          </w:tcPr>
          <w:p>
            <w:pPr>
              <w:pStyle w:val="TableParagraph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13218,99</w:t>
            </w:r>
          </w:p>
        </w:tc>
      </w:tr>
      <w:tr>
        <w:trPr>
          <w:trHeight w:val="326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Адміністративні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витрати</w:t>
            </w:r>
          </w:p>
        </w:tc>
        <w:tc>
          <w:tcPr>
            <w:tcW w:w="1720" w:type="dxa"/>
          </w:tcPr>
          <w:p>
            <w:pPr>
              <w:pStyle w:val="TableParagraph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2756,49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5" w:right="274"/>
              <w:rPr>
                <w:sz w:val="22"/>
              </w:rPr>
            </w:pPr>
            <w:r>
              <w:rPr>
                <w:spacing w:val="-2"/>
                <w:sz w:val="22"/>
              </w:rPr>
              <w:t>44,63</w:t>
            </w: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2084" w:type="dxa"/>
          </w:tcPr>
          <w:p>
            <w:pPr>
              <w:pStyle w:val="TableParagraph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2711,86</w:t>
            </w:r>
          </w:p>
        </w:tc>
      </w:tr>
      <w:tr>
        <w:trPr>
          <w:trHeight w:val="293" w:hRule="atLeast"/>
        </w:trPr>
        <w:tc>
          <w:tcPr>
            <w:tcW w:w="5918" w:type="dxa"/>
          </w:tcPr>
          <w:p>
            <w:pPr>
              <w:pStyle w:val="TableParagraph"/>
              <w:spacing w:line="266" w:lineRule="exact" w:before="8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Витрати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збут</w:t>
            </w:r>
          </w:p>
        </w:tc>
        <w:tc>
          <w:tcPr>
            <w:tcW w:w="1720" w:type="dxa"/>
          </w:tcPr>
          <w:p>
            <w:pPr>
              <w:pStyle w:val="TableParagraph"/>
              <w:spacing w:before="20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1440,77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20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1440,77</w:t>
            </w:r>
          </w:p>
        </w:tc>
      </w:tr>
      <w:tr>
        <w:trPr>
          <w:trHeight w:val="296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прибуток</w:t>
            </w:r>
          </w:p>
        </w:tc>
        <w:tc>
          <w:tcPr>
            <w:tcW w:w="1720" w:type="dxa"/>
          </w:tcPr>
          <w:p>
            <w:pPr>
              <w:pStyle w:val="TableParagraph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3181,26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5" w:right="274"/>
              <w:rPr>
                <w:sz w:val="22"/>
              </w:rPr>
            </w:pPr>
            <w:r>
              <w:rPr>
                <w:spacing w:val="-2"/>
                <w:sz w:val="22"/>
              </w:rPr>
              <w:t>47,30</w:t>
            </w: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2084" w:type="dxa"/>
          </w:tcPr>
          <w:p>
            <w:pPr>
              <w:pStyle w:val="TableParagraph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3133,96</w:t>
            </w:r>
          </w:p>
        </w:tc>
      </w:tr>
      <w:tr>
        <w:trPr>
          <w:trHeight w:val="623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Витрати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розвиток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виробництва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(контейнери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для ТПВ, капітальний ремонт спецавтотранспорту)</w:t>
            </w:r>
          </w:p>
        </w:tc>
        <w:tc>
          <w:tcPr>
            <w:tcW w:w="1720" w:type="dxa"/>
          </w:tcPr>
          <w:p>
            <w:pPr>
              <w:pStyle w:val="TableParagraph"/>
              <w:spacing w:before="184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1200,00</w:t>
            </w:r>
          </w:p>
        </w:tc>
        <w:tc>
          <w:tcPr>
            <w:tcW w:w="12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left="295" w:right="274"/>
              <w:rPr>
                <w:sz w:val="22"/>
              </w:rPr>
            </w:pPr>
            <w:r>
              <w:rPr>
                <w:spacing w:val="-2"/>
                <w:sz w:val="22"/>
              </w:rPr>
              <w:t>17,84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2084" w:type="dxa"/>
          </w:tcPr>
          <w:p>
            <w:pPr>
              <w:pStyle w:val="TableParagraph"/>
              <w:spacing w:before="184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1182,16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Вартість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послуги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збирання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вивезення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22015,05</w:t>
            </w:r>
          </w:p>
        </w:tc>
        <w:tc>
          <w:tcPr>
            <w:tcW w:w="1218" w:type="dxa"/>
          </w:tcPr>
          <w:p>
            <w:pPr>
              <w:pStyle w:val="TableParagraph"/>
              <w:ind w:left="213" w:right="188"/>
              <w:rPr>
                <w:sz w:val="22"/>
              </w:rPr>
            </w:pPr>
            <w:r>
              <w:rPr>
                <w:spacing w:val="-2"/>
                <w:sz w:val="22"/>
              </w:rPr>
              <w:t>86,45</w:t>
            </w:r>
          </w:p>
        </w:tc>
        <w:tc>
          <w:tcPr>
            <w:tcW w:w="1360" w:type="dxa"/>
          </w:tcPr>
          <w:p>
            <w:pPr>
              <w:pStyle w:val="TableParagraph"/>
              <w:ind w:left="295" w:right="270"/>
              <w:rPr>
                <w:sz w:val="22"/>
              </w:rPr>
            </w:pPr>
            <w:r>
              <w:rPr>
                <w:spacing w:val="-2"/>
                <w:sz w:val="22"/>
              </w:rPr>
              <w:t>327,31</w:t>
            </w: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1,28</w:t>
            </w:r>
          </w:p>
        </w:tc>
        <w:tc>
          <w:tcPr>
            <w:tcW w:w="2084" w:type="dxa"/>
          </w:tcPr>
          <w:p>
            <w:pPr>
              <w:pStyle w:val="TableParagraph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21687,74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spacing w:line="272" w:lineRule="exact" w:before="18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Захоронення</w:t>
            </w:r>
          </w:p>
        </w:tc>
        <w:tc>
          <w:tcPr>
            <w:tcW w:w="1720" w:type="dxa"/>
          </w:tcPr>
          <w:p>
            <w:pPr>
              <w:pStyle w:val="TableParagraph"/>
              <w:spacing w:before="28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5467,74</w:t>
            </w:r>
          </w:p>
        </w:tc>
        <w:tc>
          <w:tcPr>
            <w:tcW w:w="1218" w:type="dxa"/>
          </w:tcPr>
          <w:p>
            <w:pPr>
              <w:pStyle w:val="TableParagraph"/>
              <w:spacing w:before="28"/>
              <w:ind w:left="213" w:right="188"/>
              <w:rPr>
                <w:sz w:val="22"/>
              </w:rPr>
            </w:pPr>
            <w:r>
              <w:rPr>
                <w:spacing w:val="-2"/>
                <w:sz w:val="22"/>
              </w:rPr>
              <w:t>21,47</w:t>
            </w: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28"/>
              <w:ind w:left="459" w:right="438"/>
              <w:rPr>
                <w:sz w:val="22"/>
              </w:rPr>
            </w:pPr>
            <w:r>
              <w:rPr>
                <w:spacing w:val="-2"/>
                <w:sz w:val="22"/>
              </w:rPr>
              <w:t>5467,74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spacing w:line="272" w:lineRule="exact" w:before="18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Вивезення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збиранням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захороненням</w:t>
            </w:r>
          </w:p>
        </w:tc>
        <w:tc>
          <w:tcPr>
            <w:tcW w:w="1720" w:type="dxa"/>
          </w:tcPr>
          <w:p>
            <w:pPr>
              <w:pStyle w:val="TableParagraph"/>
              <w:spacing w:before="28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27482,79</w:t>
            </w:r>
          </w:p>
        </w:tc>
        <w:tc>
          <w:tcPr>
            <w:tcW w:w="1218" w:type="dxa"/>
          </w:tcPr>
          <w:p>
            <w:pPr>
              <w:pStyle w:val="TableParagraph"/>
              <w:spacing w:before="28"/>
              <w:ind w:left="209" w:right="188"/>
              <w:rPr>
                <w:sz w:val="22"/>
              </w:rPr>
            </w:pPr>
            <w:r>
              <w:rPr>
                <w:spacing w:val="-2"/>
                <w:sz w:val="22"/>
              </w:rPr>
              <w:t>107,92</w:t>
            </w: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28"/>
              <w:ind w:left="459" w:right="434"/>
              <w:rPr>
                <w:sz w:val="22"/>
              </w:rPr>
            </w:pPr>
            <w:r>
              <w:rPr>
                <w:spacing w:val="-2"/>
                <w:sz w:val="22"/>
              </w:rPr>
              <w:t>27155,48</w:t>
            </w:r>
          </w:p>
        </w:tc>
      </w:tr>
      <w:tr>
        <w:trPr>
          <w:trHeight w:val="310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ПДВ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720" w:type="dxa"/>
          </w:tcPr>
          <w:p>
            <w:pPr>
              <w:pStyle w:val="TableParagraph"/>
              <w:ind w:left="434" w:right="413"/>
              <w:rPr>
                <w:sz w:val="22"/>
              </w:rPr>
            </w:pPr>
            <w:r>
              <w:rPr>
                <w:spacing w:val="-2"/>
                <w:sz w:val="22"/>
              </w:rPr>
              <w:t>5496,56</w:t>
            </w:r>
          </w:p>
        </w:tc>
        <w:tc>
          <w:tcPr>
            <w:tcW w:w="1218" w:type="dxa"/>
          </w:tcPr>
          <w:p>
            <w:pPr>
              <w:pStyle w:val="TableParagraph"/>
              <w:ind w:left="213" w:right="188"/>
              <w:rPr>
                <w:sz w:val="22"/>
              </w:rPr>
            </w:pPr>
            <w:r>
              <w:rPr>
                <w:spacing w:val="-2"/>
                <w:sz w:val="22"/>
              </w:rPr>
              <w:t>21,58</w:t>
            </w: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20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918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Тариф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загальний</w:t>
            </w:r>
          </w:p>
        </w:tc>
        <w:tc>
          <w:tcPr>
            <w:tcW w:w="1720" w:type="dxa"/>
          </w:tcPr>
          <w:p>
            <w:pPr>
              <w:pStyle w:val="TableParagraph"/>
              <w:ind w:left="438" w:right="413"/>
              <w:rPr>
                <w:sz w:val="22"/>
              </w:rPr>
            </w:pPr>
            <w:r>
              <w:rPr>
                <w:spacing w:val="-2"/>
                <w:sz w:val="22"/>
              </w:rPr>
              <w:t>32979,35</w:t>
            </w:r>
          </w:p>
        </w:tc>
        <w:tc>
          <w:tcPr>
            <w:tcW w:w="1218" w:type="dxa"/>
          </w:tcPr>
          <w:p>
            <w:pPr>
              <w:pStyle w:val="TableParagraph"/>
              <w:ind w:left="209" w:right="188"/>
              <w:rPr>
                <w:sz w:val="22"/>
              </w:rPr>
            </w:pPr>
            <w:r>
              <w:rPr>
                <w:spacing w:val="-2"/>
                <w:sz w:val="22"/>
              </w:rPr>
              <w:t>129,50</w:t>
            </w: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204" w:right="179"/>
              <w:rPr>
                <w:sz w:val="22"/>
              </w:rPr>
            </w:pPr>
            <w:r>
              <w:rPr>
                <w:spacing w:val="-4"/>
                <w:sz w:val="22"/>
              </w:rPr>
              <w:t>1,54</w:t>
            </w:r>
          </w:p>
        </w:tc>
        <w:tc>
          <w:tcPr>
            <w:tcW w:w="20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sectPr>
      <w:type w:val="continuous"/>
      <w:pgSz w:w="16840" w:h="11910" w:orient="landscape"/>
      <w:pgMar w:top="0" w:bottom="0" w:left="2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Байрак</dc:creator>
  <dcterms:created xsi:type="dcterms:W3CDTF">2021-11-04T06:32:02Z</dcterms:created>
  <dcterms:modified xsi:type="dcterms:W3CDTF">2021-11-04T06:32:02Z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2019-05-30T00:00:00Z</vt:filetime>
  </property>
</Properties>
</file>